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52A3" w14:textId="3DC606DB" w:rsidR="00334035" w:rsidRDefault="00334035" w:rsidP="00334035">
      <w:pPr>
        <w:jc w:val="cente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4DBE">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854DBE">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854DBE">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02</w:t>
      </w:r>
      <w: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854DBE">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Gateway Garden Monthly/Yearly Tuition</w:t>
      </w:r>
    </w:p>
    <w:p w14:paraId="659F3D8F" w14:textId="77777777" w:rsidR="00334035" w:rsidRDefault="00334035" w:rsidP="00334035">
      <w:pPr>
        <w:jc w:val="cente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098B04" w14:textId="77777777" w:rsidR="00334035" w:rsidRDefault="00334035" w:rsidP="00334035">
      <w:pPr>
        <w:jc w:val="both"/>
      </w:pPr>
      <w:r>
        <w:t>When you enroll your child at Gateway, you are enrolling your child for the entire school year. All places are reserved for the full school year. The tuition schedule for your child is as follows:</w:t>
      </w:r>
    </w:p>
    <w:tbl>
      <w:tblPr>
        <w:tblStyle w:val="TableGrid"/>
        <w:tblW w:w="0" w:type="auto"/>
        <w:tblLook w:val="04A0" w:firstRow="1" w:lastRow="0" w:firstColumn="1" w:lastColumn="0" w:noHBand="0" w:noVBand="1"/>
      </w:tblPr>
      <w:tblGrid>
        <w:gridCol w:w="1304"/>
        <w:gridCol w:w="1379"/>
        <w:gridCol w:w="1379"/>
        <w:gridCol w:w="1379"/>
        <w:gridCol w:w="1303"/>
        <w:gridCol w:w="1303"/>
        <w:gridCol w:w="1303"/>
      </w:tblGrid>
      <w:tr w:rsidR="00334035" w14:paraId="6CA69DE7" w14:textId="77777777" w:rsidTr="00F3183A">
        <w:tc>
          <w:tcPr>
            <w:tcW w:w="1304" w:type="dxa"/>
          </w:tcPr>
          <w:p w14:paraId="6E26D9CA" w14:textId="77777777" w:rsidR="00334035" w:rsidRDefault="00334035" w:rsidP="00F3183A"/>
        </w:tc>
        <w:tc>
          <w:tcPr>
            <w:tcW w:w="1379" w:type="dxa"/>
          </w:tcPr>
          <w:p w14:paraId="637E0335" w14:textId="77777777" w:rsidR="00334035" w:rsidRDefault="00334035" w:rsidP="00F3183A">
            <w:r>
              <w:t>2 half days</w:t>
            </w:r>
          </w:p>
        </w:tc>
        <w:tc>
          <w:tcPr>
            <w:tcW w:w="1379" w:type="dxa"/>
          </w:tcPr>
          <w:p w14:paraId="744DE696" w14:textId="77777777" w:rsidR="00334035" w:rsidRDefault="00334035" w:rsidP="00F3183A">
            <w:r>
              <w:t>3 half days</w:t>
            </w:r>
          </w:p>
        </w:tc>
        <w:tc>
          <w:tcPr>
            <w:tcW w:w="1379" w:type="dxa"/>
          </w:tcPr>
          <w:p w14:paraId="6B93FCA1" w14:textId="77777777" w:rsidR="00334035" w:rsidRDefault="00334035" w:rsidP="00F3183A">
            <w:r>
              <w:t>5 half days</w:t>
            </w:r>
          </w:p>
        </w:tc>
        <w:tc>
          <w:tcPr>
            <w:tcW w:w="1303" w:type="dxa"/>
          </w:tcPr>
          <w:p w14:paraId="274F9B4F" w14:textId="77777777" w:rsidR="00334035" w:rsidRDefault="00334035" w:rsidP="00F3183A">
            <w:r>
              <w:t>2 full days</w:t>
            </w:r>
          </w:p>
        </w:tc>
        <w:tc>
          <w:tcPr>
            <w:tcW w:w="1303" w:type="dxa"/>
          </w:tcPr>
          <w:p w14:paraId="3405F20D" w14:textId="77777777" w:rsidR="00334035" w:rsidRDefault="00334035" w:rsidP="00F3183A">
            <w:r>
              <w:t>3 full days</w:t>
            </w:r>
          </w:p>
        </w:tc>
        <w:tc>
          <w:tcPr>
            <w:tcW w:w="1303" w:type="dxa"/>
          </w:tcPr>
          <w:p w14:paraId="6323BA15" w14:textId="77777777" w:rsidR="00334035" w:rsidRDefault="00334035" w:rsidP="00F3183A">
            <w:r>
              <w:t>5 full days</w:t>
            </w:r>
          </w:p>
        </w:tc>
      </w:tr>
      <w:tr w:rsidR="00334035" w14:paraId="2DBAAA44" w14:textId="77777777" w:rsidTr="00F3183A">
        <w:tc>
          <w:tcPr>
            <w:tcW w:w="1304" w:type="dxa"/>
          </w:tcPr>
          <w:p w14:paraId="4F04A4CC" w14:textId="77777777" w:rsidR="00334035" w:rsidRDefault="00334035" w:rsidP="00F3183A">
            <w:r>
              <w:t>Monthly</w:t>
            </w:r>
          </w:p>
        </w:tc>
        <w:tc>
          <w:tcPr>
            <w:tcW w:w="1379" w:type="dxa"/>
          </w:tcPr>
          <w:p w14:paraId="003305F2" w14:textId="77777777" w:rsidR="00334035" w:rsidRDefault="00334035" w:rsidP="00F3183A">
            <w:r>
              <w:t>$375.00</w:t>
            </w:r>
          </w:p>
        </w:tc>
        <w:tc>
          <w:tcPr>
            <w:tcW w:w="1379" w:type="dxa"/>
          </w:tcPr>
          <w:p w14:paraId="4077D49A" w14:textId="77777777" w:rsidR="00334035" w:rsidRDefault="00334035" w:rsidP="00F3183A">
            <w:r>
              <w:t>$450.00</w:t>
            </w:r>
          </w:p>
        </w:tc>
        <w:tc>
          <w:tcPr>
            <w:tcW w:w="1379" w:type="dxa"/>
          </w:tcPr>
          <w:p w14:paraId="502400EC" w14:textId="77777777" w:rsidR="00334035" w:rsidRDefault="00334035" w:rsidP="00F3183A">
            <w:r>
              <w:t>$600.00</w:t>
            </w:r>
          </w:p>
        </w:tc>
        <w:tc>
          <w:tcPr>
            <w:tcW w:w="1303" w:type="dxa"/>
          </w:tcPr>
          <w:p w14:paraId="104431F5" w14:textId="77777777" w:rsidR="00334035" w:rsidRDefault="00334035" w:rsidP="00F3183A">
            <w:r>
              <w:t>$550.00</w:t>
            </w:r>
          </w:p>
        </w:tc>
        <w:tc>
          <w:tcPr>
            <w:tcW w:w="1303" w:type="dxa"/>
          </w:tcPr>
          <w:p w14:paraId="233D3DC7" w14:textId="77777777" w:rsidR="00334035" w:rsidRDefault="00334035" w:rsidP="00F3183A">
            <w:r>
              <w:t>$675.00</w:t>
            </w:r>
          </w:p>
        </w:tc>
        <w:tc>
          <w:tcPr>
            <w:tcW w:w="1303" w:type="dxa"/>
          </w:tcPr>
          <w:p w14:paraId="7F77B07D" w14:textId="77777777" w:rsidR="00334035" w:rsidRDefault="00334035" w:rsidP="00F3183A">
            <w:r>
              <w:t>$975.00</w:t>
            </w:r>
          </w:p>
        </w:tc>
      </w:tr>
      <w:tr w:rsidR="00334035" w14:paraId="7259AEB9" w14:textId="77777777" w:rsidTr="00F3183A">
        <w:tc>
          <w:tcPr>
            <w:tcW w:w="1304" w:type="dxa"/>
          </w:tcPr>
          <w:p w14:paraId="6D22BA1B" w14:textId="77777777" w:rsidR="00334035" w:rsidRDefault="00334035" w:rsidP="00F3183A">
            <w:r>
              <w:t>Yearly</w:t>
            </w:r>
          </w:p>
        </w:tc>
        <w:tc>
          <w:tcPr>
            <w:tcW w:w="1379" w:type="dxa"/>
          </w:tcPr>
          <w:p w14:paraId="684AA1FB" w14:textId="77777777" w:rsidR="00334035" w:rsidRDefault="00334035" w:rsidP="00F3183A">
            <w:r>
              <w:t>$3175.00</w:t>
            </w:r>
          </w:p>
        </w:tc>
        <w:tc>
          <w:tcPr>
            <w:tcW w:w="1379" w:type="dxa"/>
          </w:tcPr>
          <w:p w14:paraId="123503E9" w14:textId="77777777" w:rsidR="00334035" w:rsidRDefault="00334035" w:rsidP="00F3183A">
            <w:r>
              <w:t>$3850.00</w:t>
            </w:r>
          </w:p>
        </w:tc>
        <w:tc>
          <w:tcPr>
            <w:tcW w:w="1379" w:type="dxa"/>
          </w:tcPr>
          <w:p w14:paraId="16E3C070" w14:textId="77777777" w:rsidR="00334035" w:rsidRDefault="00334035" w:rsidP="00F3183A">
            <w:r>
              <w:t>$5200.00</w:t>
            </w:r>
          </w:p>
        </w:tc>
        <w:tc>
          <w:tcPr>
            <w:tcW w:w="1303" w:type="dxa"/>
          </w:tcPr>
          <w:p w14:paraId="3A5A4468" w14:textId="77777777" w:rsidR="00334035" w:rsidRDefault="00334035" w:rsidP="00F3183A">
            <w:r>
              <w:t>$4750.00</w:t>
            </w:r>
          </w:p>
        </w:tc>
        <w:tc>
          <w:tcPr>
            <w:tcW w:w="1303" w:type="dxa"/>
          </w:tcPr>
          <w:p w14:paraId="33FF1AB4" w14:textId="77777777" w:rsidR="00334035" w:rsidRDefault="00334035" w:rsidP="00F3183A">
            <w:r>
              <w:t>$5875.00</w:t>
            </w:r>
          </w:p>
        </w:tc>
        <w:tc>
          <w:tcPr>
            <w:tcW w:w="1303" w:type="dxa"/>
          </w:tcPr>
          <w:p w14:paraId="5CB04BD2" w14:textId="77777777" w:rsidR="00334035" w:rsidRDefault="00334035" w:rsidP="00F3183A">
            <w:r>
              <w:t>$8775.00</w:t>
            </w:r>
          </w:p>
        </w:tc>
      </w:tr>
    </w:tbl>
    <w:p w14:paraId="7590DD93" w14:textId="77777777" w:rsidR="00334035" w:rsidRDefault="00334035" w:rsidP="00334035">
      <w:pP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913FAC" w14:textId="77777777" w:rsidR="00334035" w:rsidRDefault="00334035" w:rsidP="00334035">
      <w:r>
        <w:t xml:space="preserve">There will be a </w:t>
      </w:r>
      <w:r w:rsidRPr="0096716A">
        <w:rPr>
          <w:b/>
          <w:bCs/>
        </w:rPr>
        <w:t>10% discount</w:t>
      </w:r>
      <w:r>
        <w:t xml:space="preserve"> for sibling enrollment.</w:t>
      </w:r>
    </w:p>
    <w:p w14:paraId="4C447948" w14:textId="70905D9E" w:rsidR="00334035" w:rsidRPr="00854DBE" w:rsidRDefault="00334035" w:rsidP="00334035">
      <w:r>
        <w:t xml:space="preserve">If you choose to pay monthly, tuition is due the first of each month. Billing statements are sent the last week of each month electronically as a reminder via our Procare.com online platform. Late payments are subject to a charge of 10.00 per day after the </w:t>
      </w:r>
      <w:r>
        <w:t>4</w:t>
      </w:r>
      <w:r w:rsidRPr="004D323E">
        <w:rPr>
          <w:vertAlign w:val="superscript"/>
        </w:rPr>
        <w:t>th</w:t>
      </w:r>
      <w:r>
        <w:t xml:space="preserve"> of the month. Returned checks are $35.00. There will be no deductions or refunds for absences, holidays or withdrawals.</w:t>
      </w:r>
    </w:p>
    <w:p w14:paraId="7E4FBD14" w14:textId="77777777" w:rsidR="002E1AB6" w:rsidRDefault="002E1AB6"/>
    <w:sectPr w:rsidR="002E1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35"/>
    <w:rsid w:val="002E1AB6"/>
    <w:rsid w:val="00334035"/>
    <w:rsid w:val="006F08A3"/>
    <w:rsid w:val="00E8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3CF9"/>
  <w15:chartTrackingRefBased/>
  <w15:docId w15:val="{E309762E-9C98-43FE-8050-2BE91217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35"/>
    <w:rPr>
      <w:kern w:val="0"/>
      <w14:ligatures w14:val="none"/>
    </w:rPr>
  </w:style>
  <w:style w:type="paragraph" w:styleId="Heading1">
    <w:name w:val="heading 1"/>
    <w:basedOn w:val="Normal"/>
    <w:next w:val="Normal"/>
    <w:link w:val="Heading1Char"/>
    <w:uiPriority w:val="9"/>
    <w:qFormat/>
    <w:rsid w:val="0033403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403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403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403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3403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3403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3403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3403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3403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035"/>
    <w:rPr>
      <w:rFonts w:eastAsiaTheme="majorEastAsia" w:cstheme="majorBidi"/>
      <w:color w:val="272727" w:themeColor="text1" w:themeTint="D8"/>
    </w:rPr>
  </w:style>
  <w:style w:type="paragraph" w:styleId="Title">
    <w:name w:val="Title"/>
    <w:basedOn w:val="Normal"/>
    <w:next w:val="Normal"/>
    <w:link w:val="TitleChar"/>
    <w:uiPriority w:val="10"/>
    <w:qFormat/>
    <w:rsid w:val="003340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4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03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4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03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34035"/>
    <w:rPr>
      <w:i/>
      <w:iCs/>
      <w:color w:val="404040" w:themeColor="text1" w:themeTint="BF"/>
    </w:rPr>
  </w:style>
  <w:style w:type="paragraph" w:styleId="ListParagraph">
    <w:name w:val="List Paragraph"/>
    <w:basedOn w:val="Normal"/>
    <w:uiPriority w:val="34"/>
    <w:qFormat/>
    <w:rsid w:val="00334035"/>
    <w:pPr>
      <w:ind w:left="720"/>
      <w:contextualSpacing/>
    </w:pPr>
    <w:rPr>
      <w:kern w:val="2"/>
      <w14:ligatures w14:val="standardContextual"/>
    </w:rPr>
  </w:style>
  <w:style w:type="character" w:styleId="IntenseEmphasis">
    <w:name w:val="Intense Emphasis"/>
    <w:basedOn w:val="DefaultParagraphFont"/>
    <w:uiPriority w:val="21"/>
    <w:qFormat/>
    <w:rsid w:val="00334035"/>
    <w:rPr>
      <w:i/>
      <w:iCs/>
      <w:color w:val="0F4761" w:themeColor="accent1" w:themeShade="BF"/>
    </w:rPr>
  </w:style>
  <w:style w:type="paragraph" w:styleId="IntenseQuote">
    <w:name w:val="Intense Quote"/>
    <w:basedOn w:val="Normal"/>
    <w:next w:val="Normal"/>
    <w:link w:val="IntenseQuoteChar"/>
    <w:uiPriority w:val="30"/>
    <w:qFormat/>
    <w:rsid w:val="00334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34035"/>
    <w:rPr>
      <w:i/>
      <w:iCs/>
      <w:color w:val="0F4761" w:themeColor="accent1" w:themeShade="BF"/>
    </w:rPr>
  </w:style>
  <w:style w:type="character" w:styleId="IntenseReference">
    <w:name w:val="Intense Reference"/>
    <w:basedOn w:val="DefaultParagraphFont"/>
    <w:uiPriority w:val="32"/>
    <w:qFormat/>
    <w:rsid w:val="00334035"/>
    <w:rPr>
      <w:b/>
      <w:bCs/>
      <w:smallCaps/>
      <w:color w:val="0F4761" w:themeColor="accent1" w:themeShade="BF"/>
      <w:spacing w:val="5"/>
    </w:rPr>
  </w:style>
  <w:style w:type="table" w:styleId="TableGrid">
    <w:name w:val="Table Grid"/>
    <w:basedOn w:val="TableNormal"/>
    <w:uiPriority w:val="39"/>
    <w:rsid w:val="00334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Schenkenberger</dc:creator>
  <cp:keywords/>
  <dc:description/>
  <cp:lastModifiedBy>Tara Schenkenberger</cp:lastModifiedBy>
  <cp:revision>1</cp:revision>
  <dcterms:created xsi:type="dcterms:W3CDTF">2025-01-27T15:33:00Z</dcterms:created>
  <dcterms:modified xsi:type="dcterms:W3CDTF">2025-01-27T15:34:00Z</dcterms:modified>
</cp:coreProperties>
</file>